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3AB" w:rsidRDefault="009053AB" w:rsidP="009053AB">
      <w:pPr>
        <w:jc w:val="center"/>
      </w:pPr>
      <w:bookmarkStart w:id="0" w:name="_GoBack"/>
      <w:bookmarkEnd w:id="0"/>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3316BF" w:rsidRDefault="009053AB" w:rsidP="009053AB">
      <w:pPr>
        <w:jc w:val="center"/>
      </w:pPr>
      <w:r>
        <w:t>Foreign Direct Investment</w:t>
      </w:r>
    </w:p>
    <w:p w:rsidR="009053AB" w:rsidRDefault="009053AB" w:rsidP="009053AB">
      <w:pPr>
        <w:jc w:val="center"/>
      </w:pPr>
      <w:r>
        <w:t>Student’s Name</w:t>
      </w:r>
    </w:p>
    <w:p w:rsidR="009053AB" w:rsidRDefault="009053AB" w:rsidP="009053AB">
      <w:pPr>
        <w:jc w:val="center"/>
      </w:pPr>
      <w:r>
        <w:t>Institutional Affiliation</w:t>
      </w: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p>
    <w:p w:rsidR="009053AB" w:rsidRDefault="009053AB" w:rsidP="009053AB">
      <w:pPr>
        <w:jc w:val="center"/>
      </w:pPr>
      <w:r>
        <w:lastRenderedPageBreak/>
        <w:t xml:space="preserve">Foreign Direct Investment </w:t>
      </w:r>
    </w:p>
    <w:p w:rsidR="00865F87" w:rsidRDefault="00865F87" w:rsidP="00A23A0B">
      <w:r>
        <w:t xml:space="preserve">According to </w:t>
      </w:r>
      <w:proofErr w:type="spellStart"/>
      <w:r>
        <w:t>Kerner</w:t>
      </w:r>
      <w:proofErr w:type="spellEnd"/>
      <w:r>
        <w:t>, the application of indicators to asses</w:t>
      </w:r>
      <w:r w:rsidR="00FA7523">
        <w:t xml:space="preserve">s </w:t>
      </w:r>
      <w:r>
        <w:t xml:space="preserve">capital expenditures </w:t>
      </w:r>
      <w:r w:rsidR="00FA7523">
        <w:t>majority-owned members is significant since it helps in developing an illustration of illiquid assets bel</w:t>
      </w:r>
      <w:r w:rsidR="00C44601">
        <w:t>onging to foreign multinational</w:t>
      </w:r>
      <w:r w:rsidR="0083285A">
        <w:t xml:space="preserve"> corporations (MNCs)</w:t>
      </w:r>
      <w:r w:rsidR="00FA7523">
        <w:t xml:space="preserve">. Consequently, it enables researchers to </w:t>
      </w:r>
      <w:r w:rsidR="00665857">
        <w:t>assess the possible political risks which may arise from the assets</w:t>
      </w:r>
      <w:r w:rsidR="00A23A0B">
        <w:t xml:space="preserve"> (</w:t>
      </w:r>
      <w:proofErr w:type="spellStart"/>
      <w:r w:rsidR="00A23A0B" w:rsidRPr="0078321A">
        <w:t>Kerner</w:t>
      </w:r>
      <w:proofErr w:type="spellEnd"/>
      <w:r w:rsidR="00A23A0B">
        <w:t>, 2014)</w:t>
      </w:r>
      <w:r w:rsidR="00665857">
        <w:t xml:space="preserve">. To reiterate his argument, </w:t>
      </w:r>
      <w:proofErr w:type="spellStart"/>
      <w:r w:rsidR="00665857">
        <w:t>Kerner</w:t>
      </w:r>
      <w:proofErr w:type="spellEnd"/>
      <w:r w:rsidR="00665857">
        <w:t xml:space="preserve"> employs the new measure along with the stock indicators and foreign direct investment (FDI) as</w:t>
      </w:r>
      <w:r w:rsidR="0083285A">
        <w:t xml:space="preserve"> </w:t>
      </w:r>
      <w:r w:rsidR="00887588">
        <w:t xml:space="preserve">a </w:t>
      </w:r>
      <w:r w:rsidR="0083285A" w:rsidRPr="00887588">
        <w:rPr>
          <w:noProof/>
        </w:rPr>
        <w:t>strategy</w:t>
      </w:r>
      <w:r w:rsidR="0083285A">
        <w:t xml:space="preserve"> to </w:t>
      </w:r>
      <w:r w:rsidR="00665857">
        <w:t>investigate the</w:t>
      </w:r>
      <w:r w:rsidR="0083285A">
        <w:t xml:space="preserve"> relationship between FDI and democracy that has witnessed conflicting outcomes. </w:t>
      </w:r>
      <w:proofErr w:type="spellStart"/>
      <w:r w:rsidR="002866C4">
        <w:t>Kerner</w:t>
      </w:r>
      <w:proofErr w:type="spellEnd"/>
      <w:r w:rsidR="002866C4">
        <w:t xml:space="preserve"> also argues that researchers rely on using FDI net inflows and stock to comprehend the functions at MNCS rather than investigating with a clearly to understand the shortcomings of using these measures. </w:t>
      </w:r>
      <w:r w:rsidR="00665857">
        <w:t xml:space="preserve"> </w:t>
      </w:r>
    </w:p>
    <w:p w:rsidR="00B24BDC" w:rsidRDefault="004B2498" w:rsidP="00A23A0B">
      <w:r>
        <w:t xml:space="preserve">Governments can play a significant role </w:t>
      </w:r>
      <w:r w:rsidR="00887588">
        <w:rPr>
          <w:noProof/>
        </w:rPr>
        <w:t>in</w:t>
      </w:r>
      <w:r>
        <w:t xml:space="preserve"> influencing FDI in their respective countries. This is more beneficial to developing nations which require sufficient capital to attain sustain their economies. O</w:t>
      </w:r>
      <w:r w:rsidR="006C2D8D">
        <w:t>ne of the policies which can attract FDIs involves tax exemptions. Governments can attract FDIs by excluding MNCs from taxation.</w:t>
      </w:r>
      <w:r w:rsidR="00C44601">
        <w:t xml:space="preserve"> Subsequently, it enables the </w:t>
      </w:r>
      <w:r w:rsidR="00AD59D5">
        <w:t>companies to invest immens</w:t>
      </w:r>
      <w:r w:rsidR="006472B5">
        <w:t xml:space="preserve">ely without being liable to tax payments. The second way governments can increase FDI is by providing subsidies on utilities. This action not only enables MNCs to purchase equipment with ease but also expand their operations on the grounds of reduced expenditure. </w:t>
      </w:r>
      <w:r w:rsidR="003045B0">
        <w:t xml:space="preserve">Governments can also attract FDIs by providing the MNCs with various policy incentives to promote continuous productivity. For instance, they can provide free infrastructure to lure MNCs. The policies should be clearly structured to enable fair competition with existing local companies. </w:t>
      </w:r>
    </w:p>
    <w:p w:rsidR="00EC1277" w:rsidRDefault="003045B0" w:rsidP="00A23A0B">
      <w:proofErr w:type="spellStart"/>
      <w:r>
        <w:t>Kerner’</w:t>
      </w:r>
      <w:r w:rsidR="00B9506F">
        <w:t>s</w:t>
      </w:r>
      <w:proofErr w:type="spellEnd"/>
      <w:r w:rsidR="00B9506F">
        <w:t xml:space="preserve"> empirical analysis regarding FDIs and MNCs fail to resolve the conflicting findings </w:t>
      </w:r>
      <w:r w:rsidR="00887588">
        <w:rPr>
          <w:noProof/>
        </w:rPr>
        <w:t>of</w:t>
      </w:r>
      <w:r w:rsidR="00B9506F">
        <w:t xml:space="preserve"> the implications of democracy on FDIs. </w:t>
      </w:r>
      <w:proofErr w:type="spellStart"/>
      <w:proofErr w:type="gramStart"/>
      <w:r w:rsidR="00B9506F">
        <w:t>Kerner’s</w:t>
      </w:r>
      <w:proofErr w:type="spellEnd"/>
      <w:r w:rsidR="00B9506F">
        <w:t xml:space="preserve"> argument that political risk is the </w:t>
      </w:r>
      <w:r w:rsidR="00B9506F">
        <w:lastRenderedPageBreak/>
        <w:t>essential factor between FDI and democracy falls short in making an absolute conclusion.</w:t>
      </w:r>
      <w:proofErr w:type="gramEnd"/>
      <w:r w:rsidR="00B9506F">
        <w:t xml:space="preserve"> </w:t>
      </w:r>
      <w:r w:rsidR="0077555F">
        <w:t xml:space="preserve">The notion involving fixed capital expenditures of MNCs </w:t>
      </w:r>
      <w:r w:rsidR="00887588">
        <w:rPr>
          <w:noProof/>
        </w:rPr>
        <w:t>does</w:t>
      </w:r>
      <w:r w:rsidR="0077555F">
        <w:t xml:space="preserve"> not also quantify to make a good argument. </w:t>
      </w:r>
      <w:r w:rsidR="0077555F" w:rsidRPr="00887588">
        <w:rPr>
          <w:noProof/>
        </w:rPr>
        <w:t>Also</w:t>
      </w:r>
      <w:r w:rsidR="00887588">
        <w:rPr>
          <w:noProof/>
        </w:rPr>
        <w:t>,</w:t>
      </w:r>
      <w:r w:rsidR="0077555F">
        <w:t xml:space="preserve"> the extensions and methods </w:t>
      </w:r>
      <w:r w:rsidR="00CD5E7B">
        <w:t>used in his empirical analysis do not concur with the theoretical prospects.</w:t>
      </w:r>
    </w:p>
    <w:p w:rsidR="003045B0" w:rsidRDefault="00EC1277" w:rsidP="00A23A0B">
      <w:r>
        <w:t>Understandably, FDIs have more benefits when governments structure policies in accordance to the economic disparities. On the positive side, FD</w:t>
      </w:r>
      <w:r w:rsidR="0027405F">
        <w:t xml:space="preserve">Is have the potential to facilitate market penetration by foreign enterprises. They also play a critical role </w:t>
      </w:r>
      <w:r w:rsidR="00887588">
        <w:rPr>
          <w:noProof/>
        </w:rPr>
        <w:t>in</w:t>
      </w:r>
      <w:r w:rsidR="0027405F">
        <w:t xml:space="preserve"> ensuring MNCs adopt products and practices that match market demands in the host country. Also, foreign investments help in reducing the disparities between expenditure and revenue, thus governing foreign enterprises.</w:t>
      </w:r>
      <w:r w:rsidR="00A23A0B">
        <w:t xml:space="preserve"> Contrastingly, investing in an alien country is expensive and has the potential to make foreign affiliates lose their identity. </w:t>
      </w:r>
      <w:r w:rsidR="00CD5E7B">
        <w:t xml:space="preserve"> </w:t>
      </w:r>
      <w:r w:rsidR="00A23A0B">
        <w:t>Preferably</w:t>
      </w:r>
      <w:r w:rsidR="0077555F">
        <w:t>, the most appropriat</w:t>
      </w:r>
      <w:r w:rsidR="00A23A0B">
        <w:t xml:space="preserve">e method </w:t>
      </w:r>
      <w:proofErr w:type="spellStart"/>
      <w:r w:rsidR="00A23A0B">
        <w:t>Kerner</w:t>
      </w:r>
      <w:proofErr w:type="spellEnd"/>
      <w:r w:rsidR="00A23A0B">
        <w:t xml:space="preserve"> would adopt</w:t>
      </w:r>
      <w:r w:rsidR="0077555F">
        <w:t xml:space="preserve"> to resolve the issue would</w:t>
      </w:r>
      <w:r w:rsidR="00CD5E7B">
        <w:t xml:space="preserve"> involve the deployment of</w:t>
      </w:r>
      <w:r w:rsidR="0077555F">
        <w:t xml:space="preserve"> robust regression.  </w:t>
      </w:r>
    </w:p>
    <w:p w:rsidR="002866C4" w:rsidRDefault="002866C4" w:rsidP="00865F87">
      <w:pPr>
        <w:ind w:firstLine="0"/>
      </w:pPr>
    </w:p>
    <w:p w:rsidR="0078321A" w:rsidRDefault="0078321A" w:rsidP="009053AB">
      <w:pPr>
        <w:jc w:val="center"/>
      </w:pPr>
    </w:p>
    <w:p w:rsidR="0078321A" w:rsidRDefault="0078321A" w:rsidP="00887588">
      <w:r>
        <w:br w:type="page"/>
      </w:r>
    </w:p>
    <w:p w:rsidR="009053AB" w:rsidRDefault="009053AB" w:rsidP="009053AB">
      <w:pPr>
        <w:jc w:val="center"/>
      </w:pPr>
      <w:r>
        <w:lastRenderedPageBreak/>
        <w:t xml:space="preserve">Reference </w:t>
      </w:r>
    </w:p>
    <w:p w:rsidR="009053AB" w:rsidRPr="0078321A" w:rsidRDefault="009053AB" w:rsidP="0078321A">
      <w:pPr>
        <w:ind w:left="720" w:hanging="720"/>
      </w:pPr>
      <w:proofErr w:type="spellStart"/>
      <w:proofErr w:type="gramStart"/>
      <w:r w:rsidRPr="0078321A">
        <w:t>Kerner</w:t>
      </w:r>
      <w:proofErr w:type="spellEnd"/>
      <w:r w:rsidRPr="0078321A">
        <w:t>, A., (2014).</w:t>
      </w:r>
      <w:proofErr w:type="gramEnd"/>
      <w:r w:rsidR="0078321A" w:rsidRPr="0078321A">
        <w:t xml:space="preserve"> </w:t>
      </w:r>
      <w:r w:rsidRPr="0078321A">
        <w:t xml:space="preserve">What we talk about when we talk about foreign direct investment. </w:t>
      </w:r>
      <w:r w:rsidRPr="0078321A">
        <w:rPr>
          <w:i/>
          <w:iCs/>
        </w:rPr>
        <w:t>International Studies Quarterly</w:t>
      </w:r>
      <w:r w:rsidR="0078321A" w:rsidRPr="0078321A">
        <w:t>, 58(</w:t>
      </w:r>
      <w:r w:rsidRPr="0078321A">
        <w:t>4</w:t>
      </w:r>
      <w:r w:rsidR="0078321A" w:rsidRPr="0078321A">
        <w:t xml:space="preserve">), </w:t>
      </w:r>
      <w:proofErr w:type="spellStart"/>
      <w:r w:rsidR="0078321A" w:rsidRPr="0078321A">
        <w:t>pp</w:t>
      </w:r>
      <w:proofErr w:type="spellEnd"/>
      <w:r w:rsidR="0078321A" w:rsidRPr="0078321A">
        <w:t xml:space="preserve"> 804–815. </w:t>
      </w:r>
      <w:proofErr w:type="gramStart"/>
      <w:r w:rsidR="0078321A">
        <w:t xml:space="preserve">Retrieved </w:t>
      </w:r>
      <w:r w:rsidR="0078321A" w:rsidRPr="0078321A">
        <w:t xml:space="preserve">from </w:t>
      </w:r>
      <w:hyperlink r:id="rId7" w:history="1">
        <w:r w:rsidRPr="0078321A">
          <w:rPr>
            <w:rStyle w:val="Hyperlink"/>
            <w:color w:val="auto"/>
            <w:u w:val="none"/>
          </w:rPr>
          <w:t>https://doi.org/10.1111/isqu.12147</w:t>
        </w:r>
      </w:hyperlink>
      <w:r w:rsidR="0078321A">
        <w:t>.</w:t>
      </w:r>
      <w:proofErr w:type="gramEnd"/>
      <w:r w:rsidR="0078321A" w:rsidRPr="0078321A">
        <w:t xml:space="preserve"> </w:t>
      </w:r>
      <w:proofErr w:type="gramStart"/>
      <w:r w:rsidR="0078321A">
        <w:t xml:space="preserve">Accessed </w:t>
      </w:r>
      <w:r w:rsidR="0078321A" w:rsidRPr="0078321A">
        <w:t>17 July 2018</w:t>
      </w:r>
      <w:r w:rsidR="0078321A">
        <w:t>.</w:t>
      </w:r>
      <w:proofErr w:type="gramEnd"/>
    </w:p>
    <w:p w:rsidR="009053AB" w:rsidRDefault="009053AB" w:rsidP="009053AB">
      <w:pPr>
        <w:jc w:val="center"/>
      </w:pPr>
    </w:p>
    <w:p w:rsidR="009053AB" w:rsidRDefault="009053AB" w:rsidP="009053AB">
      <w:pPr>
        <w:jc w:val="center"/>
      </w:pPr>
    </w:p>
    <w:p w:rsidR="009053AB" w:rsidRDefault="009053AB" w:rsidP="009053AB">
      <w:pPr>
        <w:jc w:val="center"/>
      </w:pPr>
    </w:p>
    <w:sectPr w:rsidR="009053AB" w:rsidSect="0049027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A35" w:rsidRDefault="008A4A35" w:rsidP="009053AB">
      <w:pPr>
        <w:spacing w:before="0" w:line="240" w:lineRule="auto"/>
      </w:pPr>
      <w:r>
        <w:separator/>
      </w:r>
    </w:p>
  </w:endnote>
  <w:endnote w:type="continuationSeparator" w:id="0">
    <w:p w:rsidR="008A4A35" w:rsidRDefault="008A4A35" w:rsidP="009053A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DCC" w:rsidRDefault="00FA6D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DCC" w:rsidRDefault="00FA6D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DCC" w:rsidRDefault="00FA6D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A35" w:rsidRDefault="008A4A35" w:rsidP="009053AB">
      <w:pPr>
        <w:spacing w:before="0" w:line="240" w:lineRule="auto"/>
      </w:pPr>
      <w:r>
        <w:separator/>
      </w:r>
    </w:p>
  </w:footnote>
  <w:footnote w:type="continuationSeparator" w:id="0">
    <w:p w:rsidR="008A4A35" w:rsidRDefault="008A4A35" w:rsidP="009053AB">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DCC" w:rsidRDefault="00FA6D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3AB" w:rsidRDefault="009053AB" w:rsidP="009053AB">
    <w:pPr>
      <w:pStyle w:val="Header"/>
      <w:ind w:firstLine="0"/>
    </w:pPr>
    <w:r>
      <w:t xml:space="preserve">FOREIGN DIRECT INVESTMENT                                                                                              </w:t>
    </w:r>
    <w:sdt>
      <w:sdtPr>
        <w:id w:val="-48224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6DCC">
          <w:rPr>
            <w:noProof/>
          </w:rPr>
          <w:t>2</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3AB" w:rsidRDefault="009053AB" w:rsidP="009053AB">
    <w:pPr>
      <w:pStyle w:val="Header"/>
      <w:ind w:firstLine="0"/>
    </w:pPr>
    <w:r>
      <w:t>Running head: FOREIGN DIRECT INVESTMENT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2MLI0MDcztDQ2MTdV0lEKTi0uzszPAykwrAUA5joeSywAAAA="/>
  </w:docVars>
  <w:rsids>
    <w:rsidRoot w:val="009053AB"/>
    <w:rsid w:val="00024244"/>
    <w:rsid w:val="000F3B23"/>
    <w:rsid w:val="00225318"/>
    <w:rsid w:val="00261D3B"/>
    <w:rsid w:val="0026785E"/>
    <w:rsid w:val="0027405F"/>
    <w:rsid w:val="002866C4"/>
    <w:rsid w:val="003045B0"/>
    <w:rsid w:val="003316BF"/>
    <w:rsid w:val="003A3BB0"/>
    <w:rsid w:val="003B7645"/>
    <w:rsid w:val="00411174"/>
    <w:rsid w:val="0047343C"/>
    <w:rsid w:val="0049027E"/>
    <w:rsid w:val="00496696"/>
    <w:rsid w:val="004B2498"/>
    <w:rsid w:val="00557C06"/>
    <w:rsid w:val="006045CE"/>
    <w:rsid w:val="006472B5"/>
    <w:rsid w:val="00665857"/>
    <w:rsid w:val="006C2D8D"/>
    <w:rsid w:val="0077555F"/>
    <w:rsid w:val="0078321A"/>
    <w:rsid w:val="0083285A"/>
    <w:rsid w:val="00865F87"/>
    <w:rsid w:val="00870974"/>
    <w:rsid w:val="00887588"/>
    <w:rsid w:val="008A4A35"/>
    <w:rsid w:val="009053AB"/>
    <w:rsid w:val="00A23A0B"/>
    <w:rsid w:val="00A85234"/>
    <w:rsid w:val="00AB0E2C"/>
    <w:rsid w:val="00AC1F63"/>
    <w:rsid w:val="00AD59D5"/>
    <w:rsid w:val="00AF6F42"/>
    <w:rsid w:val="00B24BDC"/>
    <w:rsid w:val="00B9506F"/>
    <w:rsid w:val="00C44601"/>
    <w:rsid w:val="00C5339F"/>
    <w:rsid w:val="00CD5E7B"/>
    <w:rsid w:val="00EB53C0"/>
    <w:rsid w:val="00EC1277"/>
    <w:rsid w:val="00FA2678"/>
    <w:rsid w:val="00FA6DCC"/>
    <w:rsid w:val="00FA7523"/>
    <w:rsid w:val="00FF7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before="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225318"/>
    <w:pPr>
      <w:keepNext/>
      <w:keepLines/>
      <w:bidi/>
      <w:spacing w:before="200" w:line="276" w:lineRule="auto"/>
      <w:outlineLvl w:val="1"/>
    </w:pPr>
    <w:rPr>
      <w:b/>
      <w:bCs/>
      <w:color w:val="000000" w:themeColor="text1"/>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25318"/>
    <w:rPr>
      <w:b/>
      <w:bCs/>
      <w:color w:val="000000" w:themeColor="text1"/>
      <w:szCs w:val="26"/>
      <w:lang w:bidi="en-US"/>
    </w:rPr>
  </w:style>
  <w:style w:type="paragraph" w:styleId="Header">
    <w:name w:val="header"/>
    <w:basedOn w:val="Normal"/>
    <w:link w:val="HeaderChar"/>
    <w:uiPriority w:val="99"/>
    <w:unhideWhenUsed/>
    <w:rsid w:val="009053AB"/>
    <w:pPr>
      <w:tabs>
        <w:tab w:val="center" w:pos="4680"/>
        <w:tab w:val="right" w:pos="9360"/>
      </w:tabs>
      <w:spacing w:before="0" w:line="240" w:lineRule="auto"/>
    </w:pPr>
  </w:style>
  <w:style w:type="character" w:customStyle="1" w:styleId="HeaderChar">
    <w:name w:val="Header Char"/>
    <w:basedOn w:val="DefaultParagraphFont"/>
    <w:link w:val="Header"/>
    <w:uiPriority w:val="99"/>
    <w:rsid w:val="009053AB"/>
  </w:style>
  <w:style w:type="paragraph" w:styleId="Footer">
    <w:name w:val="footer"/>
    <w:basedOn w:val="Normal"/>
    <w:link w:val="FooterChar"/>
    <w:uiPriority w:val="99"/>
    <w:unhideWhenUsed/>
    <w:rsid w:val="009053AB"/>
    <w:pPr>
      <w:tabs>
        <w:tab w:val="center" w:pos="4680"/>
        <w:tab w:val="right" w:pos="9360"/>
      </w:tabs>
      <w:spacing w:before="0" w:line="240" w:lineRule="auto"/>
    </w:pPr>
  </w:style>
  <w:style w:type="character" w:customStyle="1" w:styleId="FooterChar">
    <w:name w:val="Footer Char"/>
    <w:basedOn w:val="DefaultParagraphFont"/>
    <w:link w:val="Footer"/>
    <w:uiPriority w:val="99"/>
    <w:rsid w:val="009053AB"/>
  </w:style>
  <w:style w:type="character" w:styleId="Hyperlink">
    <w:name w:val="Hyperlink"/>
    <w:basedOn w:val="DefaultParagraphFont"/>
    <w:uiPriority w:val="99"/>
    <w:unhideWhenUsed/>
    <w:rsid w:val="009053A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before="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225318"/>
    <w:pPr>
      <w:keepNext/>
      <w:keepLines/>
      <w:bidi/>
      <w:spacing w:before="200" w:line="276" w:lineRule="auto"/>
      <w:outlineLvl w:val="1"/>
    </w:pPr>
    <w:rPr>
      <w:b/>
      <w:bCs/>
      <w:color w:val="000000" w:themeColor="text1"/>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25318"/>
    <w:rPr>
      <w:b/>
      <w:bCs/>
      <w:color w:val="000000" w:themeColor="text1"/>
      <w:szCs w:val="26"/>
      <w:lang w:bidi="en-US"/>
    </w:rPr>
  </w:style>
  <w:style w:type="paragraph" w:styleId="Header">
    <w:name w:val="header"/>
    <w:basedOn w:val="Normal"/>
    <w:link w:val="HeaderChar"/>
    <w:uiPriority w:val="99"/>
    <w:unhideWhenUsed/>
    <w:rsid w:val="009053AB"/>
    <w:pPr>
      <w:tabs>
        <w:tab w:val="center" w:pos="4680"/>
        <w:tab w:val="right" w:pos="9360"/>
      </w:tabs>
      <w:spacing w:before="0" w:line="240" w:lineRule="auto"/>
    </w:pPr>
  </w:style>
  <w:style w:type="character" w:customStyle="1" w:styleId="HeaderChar">
    <w:name w:val="Header Char"/>
    <w:basedOn w:val="DefaultParagraphFont"/>
    <w:link w:val="Header"/>
    <w:uiPriority w:val="99"/>
    <w:rsid w:val="009053AB"/>
  </w:style>
  <w:style w:type="paragraph" w:styleId="Footer">
    <w:name w:val="footer"/>
    <w:basedOn w:val="Normal"/>
    <w:link w:val="FooterChar"/>
    <w:uiPriority w:val="99"/>
    <w:unhideWhenUsed/>
    <w:rsid w:val="009053AB"/>
    <w:pPr>
      <w:tabs>
        <w:tab w:val="center" w:pos="4680"/>
        <w:tab w:val="right" w:pos="9360"/>
      </w:tabs>
      <w:spacing w:before="0" w:line="240" w:lineRule="auto"/>
    </w:pPr>
  </w:style>
  <w:style w:type="character" w:customStyle="1" w:styleId="FooterChar">
    <w:name w:val="Footer Char"/>
    <w:basedOn w:val="DefaultParagraphFont"/>
    <w:link w:val="Footer"/>
    <w:uiPriority w:val="99"/>
    <w:rsid w:val="009053AB"/>
  </w:style>
  <w:style w:type="character" w:styleId="Hyperlink">
    <w:name w:val="Hyperlink"/>
    <w:basedOn w:val="DefaultParagraphFont"/>
    <w:uiPriority w:val="99"/>
    <w:unhideWhenUsed/>
    <w:rsid w:val="009053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111/isqu.12147"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2863</Characters>
  <Application>Microsoft Office Word</Application>
  <DocSecurity>0</DocSecurity>
  <Lines>23</Lines>
  <Paragraphs>6</Paragraphs>
  <ScaleCrop>false</ScaleCrop>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2018-07-17T17:09:00Z</dcterms:created>
  <dcterms:modified xsi:type="dcterms:W3CDTF">2018-07-17T17:09:00Z</dcterms:modified>
</cp:coreProperties>
</file>